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E72142">
      <w:pPr>
        <w:jc w:val="center"/>
      </w:pPr>
    </w:p>
    <w:p w:rsidR="00E72142" w:rsidRDefault="00E72142" w:rsidP="00E72142">
      <w:pPr>
        <w:jc w:val="center"/>
      </w:pPr>
    </w:p>
    <w:p w:rsidR="00E72142" w:rsidRDefault="00E72142" w:rsidP="00E72142">
      <w:pPr>
        <w:jc w:val="center"/>
      </w:pPr>
    </w:p>
    <w:p w:rsidR="00E72142" w:rsidRPr="00E72142" w:rsidRDefault="00E72142" w:rsidP="00E72142">
      <w:pPr>
        <w:jc w:val="center"/>
        <w:rPr>
          <w:b/>
        </w:rPr>
      </w:pPr>
    </w:p>
    <w:p w:rsidR="00E72142" w:rsidRPr="00E72142" w:rsidRDefault="00BA5BEE" w:rsidP="00E72142">
      <w:pPr>
        <w:jc w:val="center"/>
        <w:rPr>
          <w:b/>
        </w:rPr>
      </w:pPr>
      <w:r w:rsidRPr="00E72142">
        <w:rPr>
          <w:b/>
        </w:rPr>
        <w:t>Diversity, Inclusion, and Exclusion</w:t>
      </w:r>
    </w:p>
    <w:p w:rsidR="00E72142" w:rsidRDefault="00E72142" w:rsidP="00E72142">
      <w:pPr>
        <w:jc w:val="center"/>
      </w:pPr>
    </w:p>
    <w:p w:rsidR="00E72142" w:rsidRDefault="00E72142" w:rsidP="00E72142">
      <w:pPr>
        <w:jc w:val="center"/>
      </w:pPr>
    </w:p>
    <w:p w:rsidR="00E72142" w:rsidRDefault="00BA5BEE" w:rsidP="00E72142">
      <w:pPr>
        <w:jc w:val="center"/>
      </w:pPr>
      <w:r>
        <w:t>Name</w:t>
      </w:r>
    </w:p>
    <w:p w:rsidR="00E72142" w:rsidRDefault="00BA5BEE" w:rsidP="00E72142">
      <w:pPr>
        <w:jc w:val="center"/>
      </w:pPr>
      <w:r>
        <w:t>Affiliation</w:t>
      </w:r>
    </w:p>
    <w:p w:rsidR="00E72142" w:rsidRDefault="00BA5BEE" w:rsidP="00E72142">
      <w:pPr>
        <w:jc w:val="center"/>
      </w:pPr>
      <w:r>
        <w:t>Date</w:t>
      </w:r>
    </w:p>
    <w:p w:rsidR="00E72142" w:rsidRDefault="00E72142" w:rsidP="00E72142">
      <w:pPr>
        <w:jc w:val="center"/>
      </w:pPr>
    </w:p>
    <w:p w:rsidR="00E72142" w:rsidRDefault="00E72142" w:rsidP="00E72142">
      <w:pPr>
        <w:jc w:val="center"/>
      </w:pPr>
    </w:p>
    <w:p w:rsidR="00E72142" w:rsidRDefault="00E72142" w:rsidP="00E72142">
      <w:pPr>
        <w:jc w:val="center"/>
      </w:pPr>
    </w:p>
    <w:p w:rsidR="00E72142" w:rsidRDefault="00E72142" w:rsidP="00E72142">
      <w:pPr>
        <w:jc w:val="center"/>
      </w:pPr>
    </w:p>
    <w:p w:rsidR="00E72142" w:rsidRDefault="00E72142" w:rsidP="00E72142">
      <w:pPr>
        <w:jc w:val="center"/>
      </w:pPr>
    </w:p>
    <w:p w:rsidR="00E72142" w:rsidRDefault="00E72142" w:rsidP="00E72142">
      <w:pPr>
        <w:jc w:val="center"/>
      </w:pPr>
    </w:p>
    <w:p w:rsidR="00E72142" w:rsidRDefault="00E72142" w:rsidP="00E72142">
      <w:pPr>
        <w:jc w:val="center"/>
      </w:pPr>
    </w:p>
    <w:p w:rsidR="00E72142" w:rsidRDefault="00E72142" w:rsidP="00E72142">
      <w:pPr>
        <w:jc w:val="center"/>
      </w:pPr>
    </w:p>
    <w:p w:rsidR="00E72142" w:rsidRPr="00E72142" w:rsidRDefault="00BA5BEE" w:rsidP="00E72142">
      <w:pPr>
        <w:jc w:val="center"/>
        <w:rPr>
          <w:b/>
        </w:rPr>
      </w:pPr>
      <w:r w:rsidRPr="00E72142">
        <w:rPr>
          <w:b/>
        </w:rPr>
        <w:t>Diversity, Inclusion, and Exclusion</w:t>
      </w:r>
    </w:p>
    <w:p w:rsidR="00E72142" w:rsidRDefault="00BA5BEE" w:rsidP="00E72142">
      <w:r>
        <w:tab/>
      </w:r>
      <w:r w:rsidR="00177181">
        <w:t xml:space="preserve">Religious discrimination in the workplace is not a new </w:t>
      </w:r>
      <w:r w:rsidR="000E6977">
        <w:t>norm. The</w:t>
      </w:r>
      <w:r w:rsidR="00177181">
        <w:t xml:space="preserve"> world has hundreds of religions; </w:t>
      </w:r>
      <w:r w:rsidR="000E6977">
        <w:t>thus</w:t>
      </w:r>
      <w:r w:rsidR="00177181">
        <w:t xml:space="preserve">, employers must be cautious not to discriminate against any individual for their religion. As per my understanding, discrimination is termed as job unfair treatment of workers or job applicants based on </w:t>
      </w:r>
      <w:r w:rsidR="000E6977">
        <w:t>religion, race</w:t>
      </w:r>
      <w:r w:rsidR="00177181">
        <w:t xml:space="preserve">, or </w:t>
      </w:r>
      <w:r w:rsidR="000E6977">
        <w:t>color. The</w:t>
      </w:r>
      <w:r w:rsidR="00177181">
        <w:t xml:space="preserve"> rule of law restricts the unfair treatment against an employee under any given situation. It is evident that many employees</w:t>
      </w:r>
      <w:r w:rsidR="005743B3">
        <w:t xml:space="preserve"> are </w:t>
      </w:r>
      <w:r w:rsidR="000E6977">
        <w:t>still</w:t>
      </w:r>
      <w:r w:rsidR="005743B3">
        <w:t xml:space="preserve"> being mistreated and discriminated against by fellow employees or employers over their </w:t>
      </w:r>
      <w:r w:rsidR="000E6977">
        <w:t xml:space="preserve">faith. </w:t>
      </w:r>
      <w:r w:rsidR="005743B3">
        <w:t xml:space="preserve">A few years ago, </w:t>
      </w:r>
      <w:r w:rsidR="000E6977">
        <w:t>there</w:t>
      </w:r>
      <w:r w:rsidR="005743B3">
        <w:t xml:space="preserve"> was a discrim</w:t>
      </w:r>
      <w:r w:rsidR="000E6977">
        <w:t>ination case between red Robin G</w:t>
      </w:r>
      <w:r w:rsidR="005743B3">
        <w:t xml:space="preserve">ourmet </w:t>
      </w:r>
      <w:r w:rsidR="000E6977">
        <w:t>vs. The</w:t>
      </w:r>
      <w:r w:rsidR="005743B3">
        <w:t xml:space="preserve"> case EEOC.such a case resulted from one of the employees who had a tiny religious tattoo on his </w:t>
      </w:r>
      <w:r w:rsidR="000E6977">
        <w:t>wrist. Cases</w:t>
      </w:r>
      <w:r w:rsidR="005743B3">
        <w:t xml:space="preserve"> of workplace religious discrimination are on the rise in both state and federal </w:t>
      </w:r>
      <w:r w:rsidR="000E6977">
        <w:t>courts. However</w:t>
      </w:r>
      <w:r w:rsidR="008F240F">
        <w:t xml:space="preserve">, it is our duty to </w:t>
      </w:r>
      <w:r w:rsidR="000E6977">
        <w:t>avoid embarrassing</w:t>
      </w:r>
      <w:r w:rsidR="008F240F">
        <w:t xml:space="preserve"> lawsuits and costly processes as workers and </w:t>
      </w:r>
      <w:r w:rsidR="000E6977">
        <w:t>employers. Both</w:t>
      </w:r>
      <w:r w:rsidR="008F240F">
        <w:t xml:space="preserve"> of us need to understand the </w:t>
      </w:r>
      <w:r w:rsidR="000E6977">
        <w:t>employees’</w:t>
      </w:r>
      <w:r w:rsidR="008F240F">
        <w:t xml:space="preserve"> rights and impose reasonable restrictions and rules on workplaces and the rights of workers and </w:t>
      </w:r>
      <w:r w:rsidR="000E6977">
        <w:t>applicants who</w:t>
      </w:r>
      <w:r w:rsidR="008F240F">
        <w:t xml:space="preserve"> are entitled to reasonable accommodation for their religious practices and </w:t>
      </w:r>
      <w:r w:rsidR="00101013">
        <w:t xml:space="preserve">beliefs </w:t>
      </w:r>
      <w:r w:rsidR="00101013">
        <w:rPr>
          <w:rFonts w:ascii="Verdana" w:hAnsi="Verdana"/>
          <w:color w:val="333333"/>
          <w:sz w:val="21"/>
          <w:szCs w:val="21"/>
          <w:shd w:val="clear" w:color="auto" w:fill="FFFFFF"/>
        </w:rPr>
        <w:t>(</w:t>
      </w:r>
      <w:r w:rsidR="00101013" w:rsidRPr="00101013">
        <w:rPr>
          <w:rFonts w:cs="Times New Roman"/>
          <w:szCs w:val="24"/>
          <w:shd w:val="clear" w:color="auto" w:fill="FFFFFF"/>
        </w:rPr>
        <w:t>Colella &amp; King, 2018).</w:t>
      </w:r>
    </w:p>
    <w:p w:rsidR="00EF319E" w:rsidRDefault="00BA5BEE" w:rsidP="00E72142">
      <w:r>
        <w:tab/>
        <w:t xml:space="preserve">There is an issue about the rise in teenage crime cases in almost all </w:t>
      </w:r>
      <w:r w:rsidR="000E6977">
        <w:t>counties. Teenage</w:t>
      </w:r>
      <w:r>
        <w:t xml:space="preserve"> crime refers to crimes committed by individuals under the age of 18.</w:t>
      </w:r>
      <w:r w:rsidR="00D6675B">
        <w:t xml:space="preserve">in the recent past; the increase in violent crimes committed by teens forced many states to form laws and place the offenders on court </w:t>
      </w:r>
      <w:r w:rsidR="000E6977">
        <w:t>trials. Teenagers</w:t>
      </w:r>
      <w:r w:rsidR="00D6675B">
        <w:t xml:space="preserve"> have been involved in 14% of </w:t>
      </w:r>
      <w:r w:rsidR="000E6977">
        <w:t>aggravated</w:t>
      </w:r>
      <w:r w:rsidR="00D6675B">
        <w:t xml:space="preserve"> assaults</w:t>
      </w:r>
      <w:r w:rsidR="000E6977">
        <w:t>, 35</w:t>
      </w:r>
      <w:r w:rsidR="00D6675B">
        <w:t xml:space="preserve">% of rape cases, and 17% of violent </w:t>
      </w:r>
      <w:r w:rsidR="000E6977">
        <w:t>crimes. Such</w:t>
      </w:r>
      <w:r w:rsidR="00D6675B">
        <w:t xml:space="preserve"> statistics prove that America is facing a huge problem that needs an urgent </w:t>
      </w:r>
      <w:r w:rsidR="000E6977">
        <w:t>solution</w:t>
      </w:r>
      <w:r w:rsidR="00101013">
        <w:t xml:space="preserve"> </w:t>
      </w:r>
      <w:r w:rsidR="00101013" w:rsidRPr="00101013">
        <w:rPr>
          <w:rFonts w:cs="Times New Roman"/>
          <w:szCs w:val="24"/>
          <w:shd w:val="clear" w:color="auto" w:fill="FFFFFF"/>
        </w:rPr>
        <w:t>(Krohn et al., 2019)</w:t>
      </w:r>
      <w:r w:rsidR="000E6977" w:rsidRPr="00101013">
        <w:rPr>
          <w:rFonts w:cs="Times New Roman"/>
          <w:szCs w:val="24"/>
        </w:rPr>
        <w:t>.</w:t>
      </w:r>
      <w:r w:rsidR="000E6977" w:rsidRPr="00101013">
        <w:t xml:space="preserve"> </w:t>
      </w:r>
      <w:r w:rsidR="000E6977">
        <w:t>There</w:t>
      </w:r>
      <w:r w:rsidR="00D6675B">
        <w:t xml:space="preserve"> are different </w:t>
      </w:r>
      <w:r w:rsidR="000E6977">
        <w:t>types</w:t>
      </w:r>
      <w:r w:rsidR="00D6675B">
        <w:t xml:space="preserve"> of crimes committed by teens, including </w:t>
      </w:r>
      <w:r w:rsidR="000E6977">
        <w:t>assaults, gang</w:t>
      </w:r>
      <w:r w:rsidR="00D6675B">
        <w:t xml:space="preserve"> </w:t>
      </w:r>
      <w:r w:rsidR="000E6977">
        <w:t>violence, murder</w:t>
      </w:r>
      <w:r w:rsidR="00D6675B">
        <w:t xml:space="preserve">, and rape. As citizens, we should ask ourselves why teens engage in such activities, but primarily the </w:t>
      </w:r>
      <w:r w:rsidR="00F6566A">
        <w:t>ones that</w:t>
      </w:r>
      <w:r w:rsidR="00D6675B">
        <w:t xml:space="preserve"> include the collapse of </w:t>
      </w:r>
      <w:r w:rsidR="000E6977">
        <w:t>community, community</w:t>
      </w:r>
      <w:r w:rsidR="00F6566A">
        <w:t xml:space="preserve"> experience, and family </w:t>
      </w:r>
      <w:r w:rsidR="000E6977">
        <w:t>condition.</w:t>
      </w:r>
    </w:p>
    <w:p w:rsidR="00101013" w:rsidRDefault="00BA5BEE" w:rsidP="00EF319E">
      <w:pPr>
        <w:ind w:firstLine="720"/>
      </w:pPr>
      <w:r>
        <w:t xml:space="preserve"> The</w:t>
      </w:r>
      <w:r w:rsidR="00F6566A">
        <w:t xml:space="preserve"> solution to such a problem includes treating violence as a public concern. As individuals, we should use media and campaigns to reach out to every family and teen in this </w:t>
      </w:r>
      <w:r>
        <w:t>nation. We</w:t>
      </w:r>
      <w:r w:rsidR="00F6566A">
        <w:t xml:space="preserve"> also have to develop tools and means to ensure that every society </w:t>
      </w:r>
      <w:r>
        <w:t>member</w:t>
      </w:r>
      <w:r w:rsidR="00F6566A">
        <w:t xml:space="preserve"> feels cared for and important through parenting </w:t>
      </w:r>
      <w:r>
        <w:t>intervention. The</w:t>
      </w:r>
      <w:r w:rsidR="00F6566A">
        <w:t xml:space="preserve"> </w:t>
      </w:r>
      <w:r>
        <w:t>second</w:t>
      </w:r>
      <w:r w:rsidR="00F6566A">
        <w:t xml:space="preserve"> solution is focusing on hotspot </w:t>
      </w:r>
      <w:r>
        <w:t>areas. Since</w:t>
      </w:r>
      <w:r w:rsidR="00F6566A">
        <w:t xml:space="preserve"> we have access to evidence that focuses on the hotspot, we can measure to reduce or even prevent violence. Lastly, the selected programs should have specific goals; for example, if the goal is to eradicate </w:t>
      </w:r>
      <w:r w:rsidR="00EF319E">
        <w:t>homicide</w:t>
      </w:r>
      <w:r w:rsidR="00F6566A">
        <w:t xml:space="preserve">, the focus should be on hotspot areas and population groups that are most </w:t>
      </w:r>
      <w:r w:rsidR="00EF319E">
        <w:t>likely</w:t>
      </w:r>
      <w:r w:rsidR="00F6566A">
        <w:t xml:space="preserve"> to engage themselves in homicide crimes.</w:t>
      </w:r>
      <w:r>
        <w:t xml:space="preserve"> </w:t>
      </w:r>
    </w:p>
    <w:p w:rsidR="008F240F" w:rsidRDefault="00BA5BEE" w:rsidP="00EF319E">
      <w:pPr>
        <w:ind w:firstLine="720"/>
      </w:pPr>
      <w:r>
        <w:t xml:space="preserve">It is key to avoid repressive </w:t>
      </w:r>
      <w:r w:rsidR="00EF319E">
        <w:t>policies. Although</w:t>
      </w:r>
      <w:r>
        <w:t xml:space="preserve"> police and justice have a crucial role to </w:t>
      </w:r>
      <w:r w:rsidR="00EF319E">
        <w:t>play, we</w:t>
      </w:r>
      <w:r>
        <w:t xml:space="preserve"> should not forget about repression since it is </w:t>
      </w:r>
      <w:r w:rsidR="00EF319E">
        <w:t>counterproductive</w:t>
      </w:r>
      <w:r>
        <w:t xml:space="preserve"> if it is not grouped with development strategies that examine the causes of violence and handles issues like availability of </w:t>
      </w:r>
      <w:r w:rsidR="00EF319E">
        <w:t>communal</w:t>
      </w:r>
      <w:r>
        <w:t xml:space="preserve"> services and social-economic </w:t>
      </w:r>
      <w:r w:rsidR="00EF319E">
        <w:t>inequalities. We</w:t>
      </w:r>
      <w:r>
        <w:t xml:space="preserve"> should be proactive and support proactive community schools and </w:t>
      </w:r>
      <w:r w:rsidR="00EF319E">
        <w:t>associations</w:t>
      </w:r>
      <w:r>
        <w:t xml:space="preserve"> to enhance their </w:t>
      </w:r>
      <w:r w:rsidR="00EF319E">
        <w:t>involvement, which</w:t>
      </w:r>
      <w:r>
        <w:t xml:space="preserve"> results in positive results in areas such as </w:t>
      </w:r>
      <w:r w:rsidR="00EF319E">
        <w:t>New</w:t>
      </w:r>
      <w:r>
        <w:t xml:space="preserve"> </w:t>
      </w:r>
      <w:r w:rsidR="00EF319E">
        <w:t>York. Lastly</w:t>
      </w:r>
      <w:r>
        <w:t>, we should not forget about promoting links between communities that adjourns the other</w:t>
      </w:r>
      <w:r w:rsidR="00101013">
        <w:t xml:space="preserve"> </w:t>
      </w:r>
      <w:r w:rsidR="00101013">
        <w:rPr>
          <w:rFonts w:ascii="Verdana" w:hAnsi="Verdana"/>
          <w:color w:val="333333"/>
          <w:sz w:val="21"/>
          <w:szCs w:val="21"/>
          <w:shd w:val="clear" w:color="auto" w:fill="FFFFFF"/>
        </w:rPr>
        <w:t>(</w:t>
      </w:r>
      <w:r w:rsidR="00101013" w:rsidRPr="00101013">
        <w:rPr>
          <w:rFonts w:cs="Times New Roman"/>
          <w:szCs w:val="24"/>
          <w:shd w:val="clear" w:color="auto" w:fill="FFFFFF"/>
        </w:rPr>
        <w:t>McElwee &amp; Smith, 2015)</w:t>
      </w:r>
      <w:r w:rsidRPr="00101013">
        <w:rPr>
          <w:rFonts w:cs="Times New Roman"/>
          <w:szCs w:val="24"/>
        </w:rPr>
        <w:t>.</w:t>
      </w:r>
    </w:p>
    <w:p w:rsidR="00F6566A" w:rsidRDefault="00BA5BEE" w:rsidP="00E72142">
      <w:r>
        <w:tab/>
      </w:r>
    </w:p>
    <w:p w:rsidR="00101013" w:rsidRDefault="00101013" w:rsidP="00E72142"/>
    <w:p w:rsidR="00101013" w:rsidRDefault="00101013" w:rsidP="00E72142"/>
    <w:p w:rsidR="00101013" w:rsidRDefault="00101013" w:rsidP="00E72142"/>
    <w:p w:rsidR="00101013" w:rsidRDefault="00101013" w:rsidP="00E72142"/>
    <w:p w:rsidR="00101013" w:rsidRDefault="00101013" w:rsidP="00E72142"/>
    <w:p w:rsidR="00101013" w:rsidRPr="00101013" w:rsidRDefault="00101013" w:rsidP="00101013">
      <w:pPr>
        <w:shd w:val="clear" w:color="auto" w:fill="FFFFFF"/>
        <w:spacing w:after="0" w:line="240" w:lineRule="auto"/>
        <w:jc w:val="center"/>
        <w:rPr>
          <w:rFonts w:eastAsia="Times New Roman" w:cs="Times New Roman"/>
          <w:szCs w:val="24"/>
        </w:rPr>
      </w:pPr>
      <w:r w:rsidRPr="00101013">
        <w:rPr>
          <w:rFonts w:eastAsia="Times New Roman" w:cs="Times New Roman"/>
          <w:szCs w:val="24"/>
        </w:rPr>
        <w:t>References</w:t>
      </w:r>
    </w:p>
    <w:p w:rsidR="00101013" w:rsidRPr="00101013" w:rsidRDefault="00101013" w:rsidP="00101013">
      <w:pPr>
        <w:shd w:val="clear" w:color="auto" w:fill="FFFFFF"/>
        <w:spacing w:after="0" w:line="550" w:lineRule="atLeast"/>
        <w:ind w:left="720" w:right="75" w:hanging="720"/>
        <w:rPr>
          <w:rFonts w:eastAsia="Times New Roman" w:cs="Times New Roman"/>
          <w:szCs w:val="24"/>
        </w:rPr>
      </w:pPr>
      <w:r w:rsidRPr="00101013">
        <w:rPr>
          <w:rFonts w:eastAsia="Times New Roman" w:cs="Times New Roman"/>
          <w:szCs w:val="24"/>
        </w:rPr>
        <w:t>Colella, A. J., &amp; King, E. B. (2018). </w:t>
      </w:r>
      <w:r w:rsidRPr="00101013">
        <w:rPr>
          <w:rFonts w:eastAsia="Times New Roman" w:cs="Times New Roman"/>
          <w:i/>
          <w:iCs/>
          <w:szCs w:val="24"/>
        </w:rPr>
        <w:t>undefined</w:t>
      </w:r>
      <w:r w:rsidRPr="00101013">
        <w:rPr>
          <w:rFonts w:eastAsia="Times New Roman" w:cs="Times New Roman"/>
          <w:szCs w:val="24"/>
        </w:rPr>
        <w:t>. Oxford University Press.</w:t>
      </w:r>
    </w:p>
    <w:p w:rsidR="00101013" w:rsidRPr="00101013" w:rsidRDefault="00101013" w:rsidP="00101013">
      <w:pPr>
        <w:shd w:val="clear" w:color="auto" w:fill="FFFFFF"/>
        <w:spacing w:after="0" w:line="550" w:lineRule="atLeast"/>
        <w:ind w:left="720" w:right="75" w:hanging="720"/>
        <w:rPr>
          <w:rFonts w:eastAsia="Times New Roman" w:cs="Times New Roman"/>
          <w:szCs w:val="24"/>
        </w:rPr>
      </w:pPr>
      <w:r w:rsidRPr="00101013">
        <w:rPr>
          <w:rFonts w:eastAsia="Times New Roman" w:cs="Times New Roman"/>
          <w:szCs w:val="24"/>
        </w:rPr>
        <w:t>Krohn, M. D., Hendrix, N., Hall, G. P., &amp; Lizotte, A. J. (2019). </w:t>
      </w:r>
      <w:r w:rsidRPr="00101013">
        <w:rPr>
          <w:rFonts w:eastAsia="Times New Roman" w:cs="Times New Roman"/>
          <w:i/>
          <w:iCs/>
          <w:szCs w:val="24"/>
        </w:rPr>
        <w:t>undefined</w:t>
      </w:r>
      <w:r w:rsidRPr="00101013">
        <w:rPr>
          <w:rFonts w:eastAsia="Times New Roman" w:cs="Times New Roman"/>
          <w:szCs w:val="24"/>
        </w:rPr>
        <w:t>. Springer Nature.</w:t>
      </w:r>
    </w:p>
    <w:p w:rsidR="00101013" w:rsidRPr="00101013" w:rsidRDefault="00101013" w:rsidP="00101013">
      <w:pPr>
        <w:shd w:val="clear" w:color="auto" w:fill="FFFFFF"/>
        <w:spacing w:after="0" w:line="550" w:lineRule="atLeast"/>
        <w:ind w:left="720" w:right="75" w:hanging="720"/>
        <w:rPr>
          <w:rFonts w:ascii="Calibri" w:eastAsia="Times New Roman" w:hAnsi="Calibri" w:cs="Calibri"/>
          <w:color w:val="000000"/>
          <w:sz w:val="22"/>
        </w:rPr>
      </w:pPr>
      <w:r w:rsidRPr="00101013">
        <w:rPr>
          <w:rFonts w:eastAsia="Times New Roman" w:cs="Times New Roman"/>
          <w:szCs w:val="24"/>
        </w:rPr>
        <w:t>McElwee, G., &amp; Smith, R. (2015). </w:t>
      </w:r>
      <w:r w:rsidRPr="00101013">
        <w:rPr>
          <w:rFonts w:eastAsia="Times New Roman" w:cs="Times New Roman"/>
          <w:i/>
          <w:iCs/>
          <w:szCs w:val="24"/>
        </w:rPr>
        <w:t>undefined</w:t>
      </w:r>
      <w:r w:rsidRPr="00101013">
        <w:rPr>
          <w:rFonts w:eastAsia="Times New Roman" w:cs="Times New Roman"/>
          <w:szCs w:val="24"/>
        </w:rPr>
        <w:t>. Emerald Group Publishing</w:t>
      </w:r>
      <w:r w:rsidRPr="00101013">
        <w:rPr>
          <w:rFonts w:ascii="Calibri" w:eastAsia="Times New Roman" w:hAnsi="Calibri" w:cs="Calibri"/>
          <w:color w:val="000000"/>
          <w:sz w:val="22"/>
        </w:rPr>
        <w:t>.</w:t>
      </w:r>
    </w:p>
    <w:p w:rsidR="00101013" w:rsidRDefault="00101013" w:rsidP="00101013">
      <w:pPr>
        <w:jc w:val="center"/>
      </w:pPr>
    </w:p>
    <w:sectPr w:rsidR="0010101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A5BEE" w:rsidRDefault="00BA5BEE">
      <w:pPr>
        <w:spacing w:after="0" w:line="240" w:lineRule="auto"/>
      </w:pPr>
      <w:r>
        <w:separator/>
      </w:r>
    </w:p>
  </w:endnote>
  <w:endnote w:type="continuationSeparator" w:id="0">
    <w:p w:rsidR="00BA5BEE" w:rsidRDefault="00BA5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altName w:val="Arial"/>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A5BEE" w:rsidRDefault="00BA5BEE">
      <w:pPr>
        <w:spacing w:after="0" w:line="240" w:lineRule="auto"/>
      </w:pPr>
      <w:r>
        <w:separator/>
      </w:r>
    </w:p>
  </w:footnote>
  <w:footnote w:type="continuationSeparator" w:id="0">
    <w:p w:rsidR="00BA5BEE" w:rsidRDefault="00BA5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1126749"/>
      <w:docPartObj>
        <w:docPartGallery w:val="Page Numbers (Top of Page)"/>
        <w:docPartUnique/>
      </w:docPartObj>
    </w:sdtPr>
    <w:sdtEndPr>
      <w:rPr>
        <w:noProof/>
      </w:rPr>
    </w:sdtEndPr>
    <w:sdtContent>
      <w:p w:rsidR="00E72142" w:rsidRDefault="00BA5BEE">
        <w:pPr>
          <w:pStyle w:val="Header"/>
          <w:jc w:val="right"/>
        </w:pPr>
        <w:r>
          <w:fldChar w:fldCharType="begin"/>
        </w:r>
        <w:r>
          <w:instrText xml:space="preserve"> PAGE   \* MERGEFORMAT </w:instrText>
        </w:r>
        <w:r>
          <w:fldChar w:fldCharType="separate"/>
        </w:r>
        <w:r w:rsidR="00101013">
          <w:rPr>
            <w:noProof/>
          </w:rPr>
          <w:t>1</w:t>
        </w:r>
        <w:r>
          <w:rPr>
            <w:noProof/>
          </w:rPr>
          <w:fldChar w:fldCharType="end"/>
        </w:r>
      </w:p>
    </w:sdtContent>
  </w:sdt>
  <w:p w:rsidR="00E72142" w:rsidRDefault="00E72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142"/>
    <w:rsid w:val="000E6977"/>
    <w:rsid w:val="00101013"/>
    <w:rsid w:val="00177181"/>
    <w:rsid w:val="001C4CD1"/>
    <w:rsid w:val="002853EC"/>
    <w:rsid w:val="00425F69"/>
    <w:rsid w:val="005743B3"/>
    <w:rsid w:val="007A3E1E"/>
    <w:rsid w:val="008E2C11"/>
    <w:rsid w:val="008F240F"/>
    <w:rsid w:val="009C3B55"/>
    <w:rsid w:val="00B00F3D"/>
    <w:rsid w:val="00BA5BEE"/>
    <w:rsid w:val="00CA212C"/>
    <w:rsid w:val="00D25D85"/>
    <w:rsid w:val="00D6675B"/>
    <w:rsid w:val="00E72142"/>
    <w:rsid w:val="00EF319E"/>
    <w:rsid w:val="00F6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4FF1DB-CE14-4E40-8468-D23C76637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142"/>
  </w:style>
  <w:style w:type="paragraph" w:styleId="Footer">
    <w:name w:val="footer"/>
    <w:basedOn w:val="Normal"/>
    <w:link w:val="FooterChar"/>
    <w:uiPriority w:val="99"/>
    <w:unhideWhenUsed/>
    <w:rsid w:val="00E721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142"/>
  </w:style>
  <w:style w:type="character" w:customStyle="1" w:styleId="gray">
    <w:name w:val="gray"/>
    <w:basedOn w:val="DefaultParagraphFont"/>
    <w:rsid w:val="00101013"/>
  </w:style>
  <w:style w:type="paragraph" w:styleId="NormalWeb">
    <w:name w:val="Normal (Web)"/>
    <w:basedOn w:val="Normal"/>
    <w:uiPriority w:val="99"/>
    <w:semiHidden/>
    <w:unhideWhenUsed/>
    <w:rsid w:val="00101013"/>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1010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835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2021-01-09T17:04:00Z</dcterms:created>
  <dcterms:modified xsi:type="dcterms:W3CDTF">2021-01-09T17:04:00Z</dcterms:modified>
</cp:coreProperties>
</file>